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0D3D" w14:textId="77777777" w:rsidR="0068285D" w:rsidRPr="00D2606E" w:rsidRDefault="00000000">
      <w:pPr>
        <w:spacing w:before="40" w:after="40"/>
        <w:rPr>
          <w:rFonts w:ascii="Aptos" w:hAnsi="Aptos"/>
          <w:sz w:val="24"/>
          <w:szCs w:val="24"/>
        </w:rPr>
      </w:pPr>
      <w:r w:rsidRPr="00D2606E">
        <w:rPr>
          <w:rFonts w:ascii="Aptos" w:hAnsi="Aptos"/>
          <w:b/>
          <w:color w:val="C59B27"/>
          <w:sz w:val="24"/>
          <w:szCs w:val="24"/>
        </w:rPr>
        <w:t>REACH EDUCATION AND EMPLOYMENT</w:t>
      </w:r>
    </w:p>
    <w:p w14:paraId="65EBABE8" w14:textId="77777777" w:rsidR="0068285D" w:rsidRPr="00D2606E" w:rsidRDefault="00000000">
      <w:pPr>
        <w:spacing w:after="80"/>
        <w:rPr>
          <w:rFonts w:ascii="Aptos" w:hAnsi="Aptos"/>
          <w:sz w:val="24"/>
          <w:szCs w:val="24"/>
        </w:rPr>
      </w:pPr>
      <w:r w:rsidRPr="00D2606E">
        <w:rPr>
          <w:rFonts w:ascii="Aptos" w:hAnsi="Aptos"/>
          <w:b/>
          <w:color w:val="4A154B"/>
          <w:sz w:val="24"/>
          <w:szCs w:val="24"/>
        </w:rPr>
        <w:t>STATEMENT OF ETHICS AND PROFESSIONAL INTEGRITY</w:t>
      </w:r>
    </w:p>
    <w:p w14:paraId="1D2EDFD1" w14:textId="77777777" w:rsidR="0068285D" w:rsidRPr="00D2606E" w:rsidRDefault="00000000">
      <w:pPr>
        <w:rPr>
          <w:rFonts w:ascii="Aptos" w:hAnsi="Aptos"/>
          <w:sz w:val="24"/>
          <w:szCs w:val="24"/>
        </w:rPr>
      </w:pPr>
      <w:r w:rsidRPr="00D2606E">
        <w:rPr>
          <w:rFonts w:ascii="Aptos" w:hAnsi="Aptos"/>
          <w:i/>
          <w:color w:val="646464"/>
          <w:sz w:val="24"/>
          <w:szCs w:val="24"/>
        </w:rPr>
        <w:t>Public Funds Stewardship, Anti-Corruption &amp; Ethical Standards | Aligned with Policy Version 1.0</w:t>
      </w:r>
    </w:p>
    <w:tbl>
      <w:tblPr>
        <w:tblW w:w="0" w:type="auto"/>
        <w:jc w:val="center"/>
        <w:tblLayout w:type="fixed"/>
        <w:tblLook w:val="04A0" w:firstRow="1" w:lastRow="0" w:firstColumn="1" w:lastColumn="0" w:noHBand="0" w:noVBand="1"/>
      </w:tblPr>
      <w:tblGrid>
        <w:gridCol w:w="2448"/>
        <w:gridCol w:w="2592"/>
        <w:gridCol w:w="2448"/>
        <w:gridCol w:w="2448"/>
      </w:tblGrid>
      <w:tr w:rsidR="0068285D" w:rsidRPr="00D2606E" w14:paraId="0F88D064" w14:textId="77777777">
        <w:trPr>
          <w:jc w:val="center"/>
        </w:trPr>
        <w:tc>
          <w:tcPr>
            <w:tcW w:w="2448" w:type="dxa"/>
            <w:shd w:val="clear" w:color="auto" w:fill="4A154B"/>
            <w:tcMar>
              <w:top w:w="60" w:type="dxa"/>
              <w:left w:w="80" w:type="dxa"/>
              <w:bottom w:w="60" w:type="dxa"/>
              <w:right w:w="80" w:type="dxa"/>
            </w:tcMar>
          </w:tcPr>
          <w:p w14:paraId="2A4D040F" w14:textId="77777777" w:rsidR="0068285D" w:rsidRPr="00D2606E" w:rsidRDefault="00000000">
            <w:pPr>
              <w:jc w:val="center"/>
              <w:rPr>
                <w:rFonts w:ascii="Aptos" w:hAnsi="Aptos"/>
                <w:sz w:val="24"/>
                <w:szCs w:val="24"/>
              </w:rPr>
            </w:pPr>
            <w:r w:rsidRPr="00D2606E">
              <w:rPr>
                <w:rFonts w:ascii="Aptos" w:hAnsi="Aptos"/>
                <w:b/>
                <w:color w:val="FFFFFF"/>
                <w:sz w:val="24"/>
                <w:szCs w:val="24"/>
              </w:rPr>
              <w:t>Document Title</w:t>
            </w:r>
          </w:p>
        </w:tc>
        <w:tc>
          <w:tcPr>
            <w:tcW w:w="2592" w:type="dxa"/>
            <w:shd w:val="clear" w:color="auto" w:fill="4A154B"/>
            <w:tcMar>
              <w:top w:w="60" w:type="dxa"/>
              <w:left w:w="80" w:type="dxa"/>
              <w:bottom w:w="60" w:type="dxa"/>
              <w:right w:w="80" w:type="dxa"/>
            </w:tcMar>
          </w:tcPr>
          <w:p w14:paraId="67A17097" w14:textId="77777777" w:rsidR="0068285D" w:rsidRPr="00D2606E" w:rsidRDefault="00000000">
            <w:pPr>
              <w:jc w:val="center"/>
              <w:rPr>
                <w:rFonts w:ascii="Aptos" w:hAnsi="Aptos"/>
                <w:sz w:val="24"/>
                <w:szCs w:val="24"/>
              </w:rPr>
            </w:pPr>
            <w:r w:rsidRPr="00D2606E">
              <w:rPr>
                <w:rFonts w:ascii="Aptos" w:hAnsi="Aptos"/>
                <w:b/>
                <w:color w:val="FFFFFF"/>
                <w:sz w:val="24"/>
                <w:szCs w:val="24"/>
              </w:rPr>
              <w:t>Lead Author</w:t>
            </w:r>
          </w:p>
        </w:tc>
        <w:tc>
          <w:tcPr>
            <w:tcW w:w="2448" w:type="dxa"/>
            <w:shd w:val="clear" w:color="auto" w:fill="4A154B"/>
            <w:tcMar>
              <w:top w:w="60" w:type="dxa"/>
              <w:left w:w="80" w:type="dxa"/>
              <w:bottom w:w="60" w:type="dxa"/>
              <w:right w:w="80" w:type="dxa"/>
            </w:tcMar>
          </w:tcPr>
          <w:p w14:paraId="37693316" w14:textId="77777777" w:rsidR="0068285D" w:rsidRPr="00D2606E" w:rsidRDefault="00000000">
            <w:pPr>
              <w:jc w:val="center"/>
              <w:rPr>
                <w:rFonts w:ascii="Aptos" w:hAnsi="Aptos"/>
                <w:sz w:val="24"/>
                <w:szCs w:val="24"/>
              </w:rPr>
            </w:pPr>
            <w:r w:rsidRPr="00D2606E">
              <w:rPr>
                <w:rFonts w:ascii="Aptos" w:hAnsi="Aptos"/>
                <w:b/>
                <w:color w:val="FFFFFF"/>
                <w:sz w:val="24"/>
                <w:szCs w:val="24"/>
              </w:rPr>
              <w:t>Approved By / Date</w:t>
            </w:r>
          </w:p>
        </w:tc>
        <w:tc>
          <w:tcPr>
            <w:tcW w:w="2448" w:type="dxa"/>
            <w:shd w:val="clear" w:color="auto" w:fill="4A154B"/>
            <w:tcMar>
              <w:top w:w="60" w:type="dxa"/>
              <w:left w:w="80" w:type="dxa"/>
              <w:bottom w:w="60" w:type="dxa"/>
              <w:right w:w="80" w:type="dxa"/>
            </w:tcMar>
          </w:tcPr>
          <w:p w14:paraId="59D9B1DA" w14:textId="77777777" w:rsidR="0068285D" w:rsidRPr="00D2606E" w:rsidRDefault="00000000">
            <w:pPr>
              <w:jc w:val="center"/>
              <w:rPr>
                <w:rFonts w:ascii="Aptos" w:hAnsi="Aptos"/>
                <w:sz w:val="24"/>
                <w:szCs w:val="24"/>
              </w:rPr>
            </w:pPr>
            <w:r w:rsidRPr="00D2606E">
              <w:rPr>
                <w:rFonts w:ascii="Aptos" w:hAnsi="Aptos"/>
                <w:b/>
                <w:color w:val="FFFFFF"/>
                <w:sz w:val="24"/>
                <w:szCs w:val="24"/>
              </w:rPr>
              <w:t>Review Cycle</w:t>
            </w:r>
          </w:p>
        </w:tc>
      </w:tr>
      <w:tr w:rsidR="0068285D" w:rsidRPr="00D2606E" w14:paraId="0B9F0324" w14:textId="77777777">
        <w:trPr>
          <w:jc w:val="center"/>
        </w:trPr>
        <w:tc>
          <w:tcPr>
            <w:tcW w:w="2448" w:type="dxa"/>
            <w:shd w:val="clear" w:color="auto" w:fill="F9F9F9"/>
            <w:tcMar>
              <w:top w:w="60" w:type="dxa"/>
              <w:left w:w="80" w:type="dxa"/>
              <w:bottom w:w="60" w:type="dxa"/>
              <w:right w:w="80" w:type="dxa"/>
            </w:tcMar>
          </w:tcPr>
          <w:p w14:paraId="0EAF37CA" w14:textId="77777777" w:rsidR="0068285D" w:rsidRPr="00D2606E" w:rsidRDefault="00000000">
            <w:pPr>
              <w:jc w:val="center"/>
              <w:rPr>
                <w:rFonts w:ascii="Aptos" w:hAnsi="Aptos"/>
                <w:sz w:val="24"/>
                <w:szCs w:val="24"/>
              </w:rPr>
            </w:pPr>
            <w:r w:rsidRPr="00D2606E">
              <w:rPr>
                <w:rFonts w:ascii="Aptos" w:hAnsi="Aptos"/>
                <w:color w:val="222222"/>
                <w:sz w:val="24"/>
                <w:szCs w:val="24"/>
              </w:rPr>
              <w:t>Statement of Ethics v1.0</w:t>
            </w:r>
          </w:p>
        </w:tc>
        <w:tc>
          <w:tcPr>
            <w:tcW w:w="2592" w:type="dxa"/>
            <w:shd w:val="clear" w:color="auto" w:fill="F9F9F9"/>
            <w:tcMar>
              <w:top w:w="60" w:type="dxa"/>
              <w:left w:w="80" w:type="dxa"/>
              <w:bottom w:w="60" w:type="dxa"/>
              <w:right w:w="80" w:type="dxa"/>
            </w:tcMar>
          </w:tcPr>
          <w:p w14:paraId="72FC0158" w14:textId="77777777" w:rsidR="0068285D" w:rsidRPr="00D2606E" w:rsidRDefault="00000000">
            <w:pPr>
              <w:jc w:val="center"/>
              <w:rPr>
                <w:rFonts w:ascii="Aptos" w:hAnsi="Aptos"/>
                <w:sz w:val="24"/>
                <w:szCs w:val="24"/>
              </w:rPr>
            </w:pPr>
            <w:r w:rsidRPr="00D2606E">
              <w:rPr>
                <w:rFonts w:ascii="Aptos" w:hAnsi="Aptos"/>
                <w:color w:val="222222"/>
                <w:sz w:val="24"/>
                <w:szCs w:val="24"/>
              </w:rPr>
              <w:t>Christopher Murray</w:t>
            </w:r>
          </w:p>
        </w:tc>
        <w:tc>
          <w:tcPr>
            <w:tcW w:w="2448" w:type="dxa"/>
            <w:shd w:val="clear" w:color="auto" w:fill="F9F9F9"/>
            <w:tcMar>
              <w:top w:w="60" w:type="dxa"/>
              <w:left w:w="80" w:type="dxa"/>
              <w:bottom w:w="60" w:type="dxa"/>
              <w:right w:w="80" w:type="dxa"/>
            </w:tcMar>
          </w:tcPr>
          <w:p w14:paraId="48CC7951" w14:textId="77777777" w:rsidR="0068285D" w:rsidRPr="00D2606E" w:rsidRDefault="00000000">
            <w:pPr>
              <w:jc w:val="center"/>
              <w:rPr>
                <w:rFonts w:ascii="Aptos" w:hAnsi="Aptos"/>
                <w:sz w:val="24"/>
                <w:szCs w:val="24"/>
              </w:rPr>
            </w:pPr>
            <w:r w:rsidRPr="00D2606E">
              <w:rPr>
                <w:rFonts w:ascii="Aptos" w:hAnsi="Aptos"/>
                <w:color w:val="222222"/>
                <w:sz w:val="24"/>
                <w:szCs w:val="24"/>
              </w:rPr>
              <w:t>Directors | 22/09/2026</w:t>
            </w:r>
          </w:p>
        </w:tc>
        <w:tc>
          <w:tcPr>
            <w:tcW w:w="2448" w:type="dxa"/>
            <w:shd w:val="clear" w:color="auto" w:fill="F9F9F9"/>
            <w:tcMar>
              <w:top w:w="60" w:type="dxa"/>
              <w:left w:w="80" w:type="dxa"/>
              <w:bottom w:w="60" w:type="dxa"/>
              <w:right w:w="80" w:type="dxa"/>
            </w:tcMar>
          </w:tcPr>
          <w:p w14:paraId="6756E513" w14:textId="77777777" w:rsidR="0068285D" w:rsidRPr="00D2606E" w:rsidRDefault="00000000">
            <w:pPr>
              <w:jc w:val="center"/>
              <w:rPr>
                <w:rFonts w:ascii="Aptos" w:hAnsi="Aptos"/>
                <w:sz w:val="24"/>
                <w:szCs w:val="24"/>
              </w:rPr>
            </w:pPr>
            <w:r w:rsidRPr="00D2606E">
              <w:rPr>
                <w:rFonts w:ascii="Aptos" w:hAnsi="Aptos"/>
                <w:color w:val="222222"/>
                <w:sz w:val="24"/>
                <w:szCs w:val="24"/>
              </w:rPr>
              <w:t>Annual (Next: 31/08/2027)</w:t>
            </w:r>
          </w:p>
        </w:tc>
      </w:tr>
    </w:tbl>
    <w:p w14:paraId="6E482B81" w14:textId="77777777" w:rsidR="0068285D" w:rsidRPr="00D2606E" w:rsidRDefault="0068285D">
      <w:pPr>
        <w:spacing w:after="60"/>
        <w:rPr>
          <w:rFonts w:ascii="Aptos" w:hAnsi="Aptos"/>
          <w:sz w:val="24"/>
          <w:szCs w:val="24"/>
        </w:rPr>
      </w:pPr>
    </w:p>
    <w:tbl>
      <w:tblPr>
        <w:tblW w:w="0" w:type="auto"/>
        <w:jc w:val="center"/>
        <w:tblLayout w:type="fixed"/>
        <w:tblLook w:val="04A0" w:firstRow="1" w:lastRow="0" w:firstColumn="1" w:lastColumn="0" w:noHBand="0" w:noVBand="1"/>
      </w:tblPr>
      <w:tblGrid>
        <w:gridCol w:w="9936"/>
      </w:tblGrid>
      <w:tr w:rsidR="0068285D" w:rsidRPr="00D2606E" w14:paraId="35B56345" w14:textId="77777777">
        <w:trPr>
          <w:jc w:val="center"/>
        </w:trPr>
        <w:tc>
          <w:tcPr>
            <w:tcW w:w="9936" w:type="dxa"/>
            <w:tcBorders>
              <w:left w:val="single" w:sz="24" w:space="0" w:color="4A154B"/>
            </w:tcBorders>
            <w:shd w:val="clear" w:color="auto" w:fill="F5EEF6"/>
            <w:tcMar>
              <w:top w:w="80" w:type="dxa"/>
              <w:left w:w="120" w:type="dxa"/>
              <w:bottom w:w="80" w:type="dxa"/>
              <w:right w:w="120" w:type="dxa"/>
            </w:tcMar>
          </w:tcPr>
          <w:p w14:paraId="61B9F33D" w14:textId="77777777" w:rsidR="0068285D" w:rsidRPr="00D2606E" w:rsidRDefault="00000000">
            <w:pPr>
              <w:spacing w:after="0"/>
              <w:rPr>
                <w:rFonts w:ascii="Aptos" w:hAnsi="Aptos"/>
                <w:sz w:val="24"/>
                <w:szCs w:val="24"/>
              </w:rPr>
            </w:pPr>
            <w:r w:rsidRPr="00D2606E">
              <w:rPr>
                <w:rFonts w:ascii="Aptos" w:hAnsi="Aptos"/>
                <w:b/>
                <w:color w:val="4A154B"/>
                <w:sz w:val="24"/>
                <w:szCs w:val="24"/>
              </w:rPr>
              <w:t>KEY ETHICS, COMPLIANCE &amp; REPORTING DIRECTORY:</w:t>
            </w:r>
            <w:r w:rsidRPr="00D2606E">
              <w:rPr>
                <w:rFonts w:ascii="Aptos" w:hAnsi="Aptos"/>
                <w:b/>
                <w:color w:val="4A154B"/>
                <w:sz w:val="24"/>
                <w:szCs w:val="24"/>
              </w:rPr>
              <w:br/>
            </w:r>
            <w:r w:rsidRPr="00D2606E">
              <w:rPr>
                <w:rFonts w:ascii="Aptos" w:hAnsi="Aptos"/>
                <w:color w:val="222222"/>
                <w:sz w:val="24"/>
                <w:szCs w:val="24"/>
              </w:rPr>
              <w:t>Designated Compliance Lead: Christopher Murray (07583695771 / chris@reach-education.org)</w:t>
            </w:r>
            <w:r w:rsidRPr="00D2606E">
              <w:rPr>
                <w:rFonts w:ascii="Aptos" w:hAnsi="Aptos"/>
                <w:color w:val="222222"/>
                <w:sz w:val="24"/>
                <w:szCs w:val="24"/>
              </w:rPr>
              <w:br/>
              <w:t>Executive Director / Whistleblowing Lead: Andrew Mallin (07740606684)</w:t>
            </w:r>
            <w:r w:rsidRPr="00D2606E">
              <w:rPr>
                <w:rFonts w:ascii="Aptos" w:hAnsi="Aptos"/>
                <w:color w:val="222222"/>
                <w:sz w:val="24"/>
                <w:szCs w:val="24"/>
              </w:rPr>
              <w:br/>
              <w:t>North Yorkshire Council / Veritau Counter Fraud: counter.fraud@veritau.co.uk / 0800 9179 247</w:t>
            </w:r>
            <w:r w:rsidRPr="00D2606E">
              <w:rPr>
                <w:rFonts w:ascii="Aptos" w:hAnsi="Aptos"/>
                <w:color w:val="222222"/>
                <w:sz w:val="24"/>
                <w:szCs w:val="24"/>
              </w:rPr>
              <w:br/>
              <w:t>DfE / ESFA Counter Fraud &amp; Investigation: allegations.mailbox@education.gov.uk</w:t>
            </w:r>
            <w:r w:rsidRPr="00D2606E">
              <w:rPr>
                <w:rFonts w:ascii="Aptos" w:hAnsi="Aptos"/>
                <w:color w:val="222222"/>
                <w:sz w:val="24"/>
                <w:szCs w:val="24"/>
              </w:rPr>
              <w:br/>
              <w:t>Action Fraud (Police): 0300 123 2040 | Protect Whistleblowing Line: 020 3117 2520</w:t>
            </w:r>
          </w:p>
        </w:tc>
      </w:tr>
    </w:tbl>
    <w:p w14:paraId="0AAE2E6E" w14:textId="77777777" w:rsidR="0068285D" w:rsidRPr="00D2606E" w:rsidRDefault="0068285D">
      <w:pPr>
        <w:spacing w:after="80"/>
        <w:rPr>
          <w:rFonts w:ascii="Aptos" w:hAnsi="Aptos"/>
          <w:sz w:val="24"/>
          <w:szCs w:val="24"/>
        </w:rPr>
      </w:pPr>
    </w:p>
    <w:p w14:paraId="5737D5B3" w14:textId="77777777" w:rsidR="0068285D" w:rsidRPr="00D2606E" w:rsidRDefault="00000000">
      <w:pPr>
        <w:keepNext/>
        <w:spacing w:before="220" w:after="60"/>
        <w:rPr>
          <w:rFonts w:ascii="Aptos" w:hAnsi="Aptos"/>
          <w:sz w:val="24"/>
          <w:szCs w:val="24"/>
        </w:rPr>
      </w:pPr>
      <w:r w:rsidRPr="00D2606E">
        <w:rPr>
          <w:rFonts w:ascii="Aptos" w:hAnsi="Aptos"/>
          <w:b/>
          <w:color w:val="4A154B"/>
          <w:sz w:val="24"/>
          <w:szCs w:val="24"/>
        </w:rPr>
        <w:t>1. Organisational Commitment &amp; Purpose</w:t>
      </w:r>
    </w:p>
    <w:p w14:paraId="140E2685" w14:textId="77777777" w:rsidR="0068285D" w:rsidRPr="00D2606E" w:rsidRDefault="00000000">
      <w:pPr>
        <w:spacing w:after="80"/>
        <w:rPr>
          <w:rFonts w:ascii="Aptos" w:hAnsi="Aptos"/>
          <w:sz w:val="24"/>
          <w:szCs w:val="24"/>
        </w:rPr>
      </w:pPr>
      <w:r w:rsidRPr="00D2606E">
        <w:rPr>
          <w:rFonts w:ascii="Aptos" w:hAnsi="Aptos"/>
          <w:color w:val="222222"/>
          <w:sz w:val="24"/>
          <w:szCs w:val="24"/>
        </w:rPr>
        <w:t>Reach Education and Employment (REACH) is committed to operating with complete integrity, transparency, and accountability across every aspect of its education, vocational training, and supported employment delivery. As custodians of public funding, we recognise our profound responsibility to protect our learners, safeguard public resources, and foster an organizational environment completely free from bribery, fraud, corruption, and improper influence.</w:t>
      </w:r>
    </w:p>
    <w:p w14:paraId="7DE884C5" w14:textId="77777777" w:rsidR="0068285D" w:rsidRPr="00D2606E" w:rsidRDefault="00000000">
      <w:pPr>
        <w:spacing w:after="80"/>
        <w:rPr>
          <w:rFonts w:ascii="Aptos" w:hAnsi="Aptos"/>
          <w:sz w:val="24"/>
          <w:szCs w:val="24"/>
        </w:rPr>
      </w:pPr>
      <w:r w:rsidRPr="00D2606E">
        <w:rPr>
          <w:rFonts w:ascii="Aptos" w:hAnsi="Aptos"/>
          <w:color w:val="222222"/>
          <w:sz w:val="24"/>
          <w:szCs w:val="24"/>
        </w:rPr>
        <w:t>We maintain a non-negotiable zero-tolerance stance toward financial crime, manipulation, and unethical behaviour. Our governance is anchored in UK law—including the Bribery Act 2010 and the Fraud Act 2006—as well as the standards established by the Education and Skills Funding Agency (ESFA), the Department for Education (DfE), and the Seven Principles of Public Life (The Nolan Principles: Selflessness, Integrity, Objectivity, Accountability, Openness, Honesty, and Leadership).</w:t>
      </w:r>
    </w:p>
    <w:p w14:paraId="5C3A6C35" w14:textId="77777777" w:rsidR="0068285D" w:rsidRPr="00D2606E" w:rsidRDefault="00000000">
      <w:pPr>
        <w:keepNext/>
        <w:spacing w:before="220" w:after="60"/>
        <w:rPr>
          <w:rFonts w:ascii="Aptos" w:hAnsi="Aptos"/>
          <w:sz w:val="24"/>
          <w:szCs w:val="24"/>
        </w:rPr>
      </w:pPr>
      <w:r w:rsidRPr="00D2606E">
        <w:rPr>
          <w:rFonts w:ascii="Aptos" w:hAnsi="Aptos"/>
          <w:b/>
          <w:color w:val="4A154B"/>
          <w:sz w:val="24"/>
          <w:szCs w:val="24"/>
        </w:rPr>
        <w:t>2. Core Ethical Principles</w:t>
      </w:r>
    </w:p>
    <w:p w14:paraId="485603CC" w14:textId="77777777" w:rsidR="0068285D" w:rsidRPr="00D2606E" w:rsidRDefault="00000000">
      <w:pPr>
        <w:spacing w:before="20" w:after="40"/>
        <w:ind w:left="288"/>
        <w:rPr>
          <w:rFonts w:ascii="Aptos" w:hAnsi="Aptos"/>
          <w:sz w:val="24"/>
          <w:szCs w:val="24"/>
        </w:rPr>
      </w:pPr>
      <w:r w:rsidRPr="00D2606E">
        <w:rPr>
          <w:rFonts w:ascii="Aptos" w:hAnsi="Aptos"/>
          <w:b/>
          <w:color w:val="C59B27"/>
          <w:sz w:val="24"/>
          <w:szCs w:val="24"/>
        </w:rPr>
        <w:t xml:space="preserve">• </w:t>
      </w:r>
      <w:r w:rsidRPr="00D2606E">
        <w:rPr>
          <w:rFonts w:ascii="Aptos" w:hAnsi="Aptos"/>
          <w:b/>
          <w:color w:val="4A154B"/>
          <w:sz w:val="24"/>
          <w:szCs w:val="24"/>
        </w:rPr>
        <w:t xml:space="preserve">Learner-Centred Integrity: </w:t>
      </w:r>
      <w:r w:rsidRPr="00D2606E">
        <w:rPr>
          <w:rFonts w:ascii="Aptos" w:hAnsi="Aptos"/>
          <w:color w:val="222222"/>
          <w:sz w:val="24"/>
          <w:szCs w:val="24"/>
        </w:rPr>
        <w:t>All educational sessions, vocational learning plans, and curriculum interventions are designed around the genuine developmental needs of the learner, never the commercial, funding, or administrative convenience of the organisation. We strictly prohibit the manipulation, inflation, or misuse of Education, Health and Care Plans (EHCPs) or learner profiles for institutional gain.</w:t>
      </w:r>
    </w:p>
    <w:p w14:paraId="26DC7B15" w14:textId="60A7F449" w:rsidR="0068285D" w:rsidRPr="00D2606E" w:rsidRDefault="00000000">
      <w:pPr>
        <w:spacing w:before="20" w:after="40"/>
        <w:ind w:left="288"/>
        <w:rPr>
          <w:rFonts w:ascii="Aptos" w:hAnsi="Aptos"/>
          <w:sz w:val="24"/>
          <w:szCs w:val="24"/>
        </w:rPr>
      </w:pPr>
      <w:r w:rsidRPr="00D2606E">
        <w:rPr>
          <w:rFonts w:ascii="Aptos" w:hAnsi="Aptos"/>
          <w:b/>
          <w:color w:val="C59B27"/>
          <w:sz w:val="24"/>
          <w:szCs w:val="24"/>
        </w:rPr>
        <w:lastRenderedPageBreak/>
        <w:t xml:space="preserve">• </w:t>
      </w:r>
      <w:r w:rsidRPr="00D2606E">
        <w:rPr>
          <w:rFonts w:ascii="Aptos" w:hAnsi="Aptos"/>
          <w:b/>
          <w:color w:val="4A154B"/>
          <w:sz w:val="24"/>
          <w:szCs w:val="24"/>
        </w:rPr>
        <w:t xml:space="preserve">Public Funds Stewardship: </w:t>
      </w:r>
      <w:r w:rsidRPr="00D2606E">
        <w:rPr>
          <w:rFonts w:ascii="Aptos" w:hAnsi="Aptos"/>
          <w:color w:val="222222"/>
          <w:sz w:val="24"/>
          <w:szCs w:val="24"/>
        </w:rPr>
        <w:t xml:space="preserve">Every public funding claim—including ESFA funding, Local Authority provisions, </w:t>
      </w:r>
      <w:r w:rsidR="00D2606E">
        <w:rPr>
          <w:rFonts w:ascii="Aptos" w:hAnsi="Aptos"/>
          <w:color w:val="222222"/>
          <w:sz w:val="24"/>
          <w:szCs w:val="24"/>
        </w:rPr>
        <w:t xml:space="preserve">DPW </w:t>
      </w:r>
      <w:r w:rsidRPr="00D2606E">
        <w:rPr>
          <w:rFonts w:ascii="Aptos" w:hAnsi="Aptos"/>
          <w:color w:val="222222"/>
          <w:sz w:val="24"/>
          <w:szCs w:val="24"/>
        </w:rPr>
        <w:t>and Access to Work claims—must be accurate, auditable, and backed by verifiable delivery. Creating ghost learner records, inflating guided learning hours, claiming unearned funding, or submitting false Access to Work claims is fraudulent and strictly prohibited.</w:t>
      </w:r>
    </w:p>
    <w:p w14:paraId="736AA387" w14:textId="77777777" w:rsidR="0068285D" w:rsidRPr="00D2606E" w:rsidRDefault="00000000">
      <w:pPr>
        <w:spacing w:before="20" w:after="40"/>
        <w:ind w:left="288"/>
        <w:rPr>
          <w:rFonts w:ascii="Aptos" w:hAnsi="Aptos"/>
          <w:sz w:val="24"/>
          <w:szCs w:val="24"/>
        </w:rPr>
      </w:pPr>
      <w:r w:rsidRPr="00D2606E">
        <w:rPr>
          <w:rFonts w:ascii="Aptos" w:hAnsi="Aptos"/>
          <w:b/>
          <w:color w:val="C59B27"/>
          <w:sz w:val="24"/>
          <w:szCs w:val="24"/>
        </w:rPr>
        <w:t xml:space="preserve">• </w:t>
      </w:r>
      <w:r w:rsidRPr="00D2606E">
        <w:rPr>
          <w:rFonts w:ascii="Aptos" w:hAnsi="Aptos"/>
          <w:b/>
          <w:color w:val="4A154B"/>
          <w:sz w:val="24"/>
          <w:szCs w:val="24"/>
        </w:rPr>
        <w:t xml:space="preserve">Independence &amp; Anti-Bribery: </w:t>
      </w:r>
      <w:r w:rsidRPr="00D2606E">
        <w:rPr>
          <w:rFonts w:ascii="Aptos" w:hAnsi="Aptos"/>
          <w:color w:val="222222"/>
          <w:sz w:val="24"/>
          <w:szCs w:val="24"/>
        </w:rPr>
        <w:t>Staff, directors, volunteers, and partners must never give, solicit, or accept bribes, kickbacks, secret commissions, or facilitation payments. Professional decisions must remain untainted by personal financial inducement or improper advantage.</w:t>
      </w:r>
    </w:p>
    <w:p w14:paraId="5D105625" w14:textId="77777777" w:rsidR="0068285D" w:rsidRPr="00D2606E" w:rsidRDefault="00000000">
      <w:pPr>
        <w:spacing w:before="20" w:after="40"/>
        <w:ind w:left="288"/>
        <w:rPr>
          <w:rFonts w:ascii="Aptos" w:hAnsi="Aptos"/>
          <w:sz w:val="24"/>
          <w:szCs w:val="24"/>
        </w:rPr>
      </w:pPr>
      <w:r w:rsidRPr="00D2606E">
        <w:rPr>
          <w:rFonts w:ascii="Aptos" w:hAnsi="Aptos"/>
          <w:b/>
          <w:color w:val="C59B27"/>
          <w:sz w:val="24"/>
          <w:szCs w:val="24"/>
        </w:rPr>
        <w:t xml:space="preserve">• </w:t>
      </w:r>
      <w:r w:rsidRPr="00D2606E">
        <w:rPr>
          <w:rFonts w:ascii="Aptos" w:hAnsi="Aptos"/>
          <w:b/>
          <w:color w:val="4A154B"/>
          <w:sz w:val="24"/>
          <w:szCs w:val="24"/>
        </w:rPr>
        <w:t xml:space="preserve">Fairness &amp; Objectivity in Partnerships: </w:t>
      </w:r>
      <w:r w:rsidRPr="00D2606E">
        <w:rPr>
          <w:rFonts w:ascii="Aptos" w:hAnsi="Aptos"/>
          <w:color w:val="222222"/>
          <w:sz w:val="24"/>
          <w:szCs w:val="24"/>
        </w:rPr>
        <w:t>Procurement, contracting, recruitment, and employer partnerships are conducted through transparent, merit-based processes free from bias, nepotism, or favouritism. We never offer improper incentives or kickbacks to employers to secure candidate starts.</w:t>
      </w:r>
    </w:p>
    <w:p w14:paraId="56C5BD0E" w14:textId="77777777" w:rsidR="0068285D" w:rsidRPr="00D2606E" w:rsidRDefault="00000000">
      <w:pPr>
        <w:spacing w:before="20" w:after="40"/>
        <w:ind w:left="288"/>
        <w:rPr>
          <w:rFonts w:ascii="Aptos" w:hAnsi="Aptos"/>
          <w:sz w:val="24"/>
          <w:szCs w:val="24"/>
        </w:rPr>
      </w:pPr>
      <w:r w:rsidRPr="00D2606E">
        <w:rPr>
          <w:rFonts w:ascii="Aptos" w:hAnsi="Aptos"/>
          <w:b/>
          <w:color w:val="C59B27"/>
          <w:sz w:val="24"/>
          <w:szCs w:val="24"/>
        </w:rPr>
        <w:t xml:space="preserve">• </w:t>
      </w:r>
      <w:r w:rsidRPr="00D2606E">
        <w:rPr>
          <w:rFonts w:ascii="Aptos" w:hAnsi="Aptos"/>
          <w:b/>
          <w:color w:val="4A154B"/>
          <w:sz w:val="24"/>
          <w:szCs w:val="24"/>
        </w:rPr>
        <w:t xml:space="preserve">Separation of Personal &amp; Professional Interests: </w:t>
      </w:r>
      <w:r w:rsidRPr="00D2606E">
        <w:rPr>
          <w:rFonts w:ascii="Aptos" w:hAnsi="Aptos"/>
          <w:color w:val="222222"/>
          <w:sz w:val="24"/>
          <w:szCs w:val="24"/>
        </w:rPr>
        <w:t>All real or perceived conflicts of interest must be disclosed promptly on the central Register of Interests, with individuals immediately recusing themselves from any related evaluation, recruitment, or decision-making.</w:t>
      </w:r>
    </w:p>
    <w:p w14:paraId="7AF2A656" w14:textId="77777777" w:rsidR="0068285D" w:rsidRPr="00D2606E" w:rsidRDefault="00000000">
      <w:pPr>
        <w:spacing w:before="20" w:after="40"/>
        <w:ind w:left="288"/>
        <w:rPr>
          <w:rFonts w:ascii="Aptos" w:hAnsi="Aptos"/>
          <w:sz w:val="24"/>
          <w:szCs w:val="24"/>
        </w:rPr>
      </w:pPr>
      <w:r w:rsidRPr="00D2606E">
        <w:rPr>
          <w:rFonts w:ascii="Aptos" w:hAnsi="Aptos"/>
          <w:b/>
          <w:color w:val="C59B27"/>
          <w:sz w:val="24"/>
          <w:szCs w:val="24"/>
        </w:rPr>
        <w:t xml:space="preserve">• </w:t>
      </w:r>
      <w:r w:rsidRPr="00D2606E">
        <w:rPr>
          <w:rFonts w:ascii="Aptos" w:hAnsi="Aptos"/>
          <w:b/>
          <w:color w:val="4A154B"/>
          <w:sz w:val="24"/>
          <w:szCs w:val="24"/>
        </w:rPr>
        <w:t xml:space="preserve">Proportionality in Gifts and Hospitality: </w:t>
      </w:r>
      <w:r w:rsidRPr="00D2606E">
        <w:rPr>
          <w:rFonts w:ascii="Aptos" w:hAnsi="Aptos"/>
          <w:color w:val="222222"/>
          <w:sz w:val="24"/>
          <w:szCs w:val="24"/>
        </w:rPr>
        <w:t>Personal gifts of cash or cash-equivalents are strictly banned. All gifts and hospitality must comply with clear financial thresholds, require written Director approval where appropriate, and be documented openly on our central register.</w:t>
      </w:r>
    </w:p>
    <w:p w14:paraId="49E432CB" w14:textId="77777777" w:rsidR="0068285D" w:rsidRPr="00D2606E" w:rsidRDefault="00000000">
      <w:pPr>
        <w:keepNext/>
        <w:spacing w:before="220" w:after="60"/>
        <w:rPr>
          <w:rFonts w:ascii="Aptos" w:hAnsi="Aptos"/>
          <w:sz w:val="24"/>
          <w:szCs w:val="24"/>
        </w:rPr>
      </w:pPr>
      <w:r w:rsidRPr="00D2606E">
        <w:rPr>
          <w:rFonts w:ascii="Aptos" w:hAnsi="Aptos"/>
          <w:b/>
          <w:color w:val="4A154B"/>
          <w:sz w:val="24"/>
          <w:szCs w:val="24"/>
        </w:rPr>
        <w:t>3. Operational Standards of Ethical Conduct</w:t>
      </w:r>
    </w:p>
    <w:tbl>
      <w:tblPr>
        <w:tblW w:w="0" w:type="auto"/>
        <w:jc w:val="center"/>
        <w:tblLayout w:type="fixed"/>
        <w:tblLook w:val="04A0" w:firstRow="1" w:lastRow="0" w:firstColumn="1" w:lastColumn="0" w:noHBand="0" w:noVBand="1"/>
      </w:tblPr>
      <w:tblGrid>
        <w:gridCol w:w="3312"/>
        <w:gridCol w:w="3312"/>
        <w:gridCol w:w="3312"/>
      </w:tblGrid>
      <w:tr w:rsidR="0068285D" w:rsidRPr="00D2606E" w14:paraId="5560FF9D" w14:textId="77777777">
        <w:trPr>
          <w:jc w:val="center"/>
        </w:trPr>
        <w:tc>
          <w:tcPr>
            <w:tcW w:w="3312" w:type="dxa"/>
            <w:shd w:val="clear" w:color="auto" w:fill="4A154B"/>
            <w:tcMar>
              <w:top w:w="50" w:type="dxa"/>
              <w:left w:w="70" w:type="dxa"/>
              <w:bottom w:w="50" w:type="dxa"/>
              <w:right w:w="70" w:type="dxa"/>
            </w:tcMar>
          </w:tcPr>
          <w:p w14:paraId="527D71D5" w14:textId="77777777" w:rsidR="0068285D" w:rsidRPr="00D2606E" w:rsidRDefault="00000000">
            <w:pPr>
              <w:jc w:val="center"/>
              <w:rPr>
                <w:rFonts w:ascii="Aptos" w:hAnsi="Aptos"/>
                <w:sz w:val="24"/>
                <w:szCs w:val="24"/>
              </w:rPr>
            </w:pPr>
            <w:r w:rsidRPr="00D2606E">
              <w:rPr>
                <w:rFonts w:ascii="Aptos" w:hAnsi="Aptos"/>
                <w:b/>
                <w:color w:val="FFFFFF"/>
                <w:sz w:val="24"/>
                <w:szCs w:val="24"/>
              </w:rPr>
              <w:t>Domain / Operational Area</w:t>
            </w:r>
          </w:p>
        </w:tc>
        <w:tc>
          <w:tcPr>
            <w:tcW w:w="3312" w:type="dxa"/>
            <w:shd w:val="clear" w:color="auto" w:fill="4A154B"/>
            <w:tcMar>
              <w:top w:w="50" w:type="dxa"/>
              <w:left w:w="70" w:type="dxa"/>
              <w:bottom w:w="50" w:type="dxa"/>
              <w:right w:w="70" w:type="dxa"/>
            </w:tcMar>
          </w:tcPr>
          <w:p w14:paraId="3184DB49" w14:textId="77777777" w:rsidR="0068285D" w:rsidRPr="00D2606E" w:rsidRDefault="00000000">
            <w:pPr>
              <w:rPr>
                <w:rFonts w:ascii="Aptos" w:hAnsi="Aptos"/>
                <w:sz w:val="24"/>
                <w:szCs w:val="24"/>
              </w:rPr>
            </w:pPr>
            <w:r w:rsidRPr="00D2606E">
              <w:rPr>
                <w:rFonts w:ascii="Aptos" w:hAnsi="Aptos"/>
                <w:b/>
                <w:color w:val="FFFFFF"/>
                <w:sz w:val="24"/>
                <w:szCs w:val="24"/>
              </w:rPr>
              <w:t>Expected Ethical Standard</w:t>
            </w:r>
          </w:p>
        </w:tc>
        <w:tc>
          <w:tcPr>
            <w:tcW w:w="3312" w:type="dxa"/>
            <w:shd w:val="clear" w:color="auto" w:fill="4A154B"/>
            <w:tcMar>
              <w:top w:w="50" w:type="dxa"/>
              <w:left w:w="70" w:type="dxa"/>
              <w:bottom w:w="50" w:type="dxa"/>
              <w:right w:w="70" w:type="dxa"/>
            </w:tcMar>
          </w:tcPr>
          <w:p w14:paraId="50DD505E" w14:textId="77777777" w:rsidR="0068285D" w:rsidRPr="00D2606E" w:rsidRDefault="00000000">
            <w:pPr>
              <w:rPr>
                <w:rFonts w:ascii="Aptos" w:hAnsi="Aptos"/>
                <w:sz w:val="24"/>
                <w:szCs w:val="24"/>
              </w:rPr>
            </w:pPr>
            <w:r w:rsidRPr="00D2606E">
              <w:rPr>
                <w:rFonts w:ascii="Aptos" w:hAnsi="Aptos"/>
                <w:b/>
                <w:color w:val="FFFFFF"/>
                <w:sz w:val="24"/>
                <w:szCs w:val="24"/>
              </w:rPr>
              <w:t>Strictly Prohibited Conduct</w:t>
            </w:r>
          </w:p>
        </w:tc>
      </w:tr>
      <w:tr w:rsidR="0068285D" w:rsidRPr="00D2606E" w14:paraId="707FE267" w14:textId="77777777">
        <w:trPr>
          <w:jc w:val="center"/>
        </w:trPr>
        <w:tc>
          <w:tcPr>
            <w:tcW w:w="3312" w:type="dxa"/>
            <w:shd w:val="clear" w:color="auto" w:fill="FFFFFF"/>
            <w:tcMar>
              <w:top w:w="40" w:type="dxa"/>
              <w:left w:w="60" w:type="dxa"/>
              <w:bottom w:w="40" w:type="dxa"/>
              <w:right w:w="60" w:type="dxa"/>
            </w:tcMar>
          </w:tcPr>
          <w:p w14:paraId="053AFF3C" w14:textId="77777777" w:rsidR="0068285D" w:rsidRPr="00D2606E" w:rsidRDefault="00000000">
            <w:pPr>
              <w:rPr>
                <w:rFonts w:ascii="Aptos" w:hAnsi="Aptos"/>
                <w:sz w:val="24"/>
                <w:szCs w:val="24"/>
              </w:rPr>
            </w:pPr>
            <w:r w:rsidRPr="00D2606E">
              <w:rPr>
                <w:rFonts w:ascii="Aptos" w:hAnsi="Aptos"/>
                <w:b/>
                <w:color w:val="4A154B"/>
                <w:sz w:val="24"/>
                <w:szCs w:val="24"/>
              </w:rPr>
              <w:t>Learner Data, EHCPs &amp; Funding Claims</w:t>
            </w:r>
          </w:p>
        </w:tc>
        <w:tc>
          <w:tcPr>
            <w:tcW w:w="3312" w:type="dxa"/>
            <w:shd w:val="clear" w:color="auto" w:fill="FFFFFF"/>
            <w:tcMar>
              <w:top w:w="40" w:type="dxa"/>
              <w:left w:w="60" w:type="dxa"/>
              <w:bottom w:w="40" w:type="dxa"/>
              <w:right w:w="60" w:type="dxa"/>
            </w:tcMar>
          </w:tcPr>
          <w:p w14:paraId="435E4211" w14:textId="77777777" w:rsidR="0068285D" w:rsidRPr="00D2606E" w:rsidRDefault="00000000">
            <w:pPr>
              <w:rPr>
                <w:rFonts w:ascii="Aptos" w:hAnsi="Aptos"/>
                <w:sz w:val="24"/>
                <w:szCs w:val="24"/>
              </w:rPr>
            </w:pPr>
            <w:r w:rsidRPr="00D2606E">
              <w:rPr>
                <w:rFonts w:ascii="Aptos" w:hAnsi="Aptos"/>
                <w:color w:val="222222"/>
                <w:sz w:val="24"/>
                <w:szCs w:val="24"/>
              </w:rPr>
              <w:t>Complete honesty in Individualised Learner Record (ILR) data, attendance registers, start dates, and achievement portfolios. Transparent Access to Work and EHCP management.</w:t>
            </w:r>
          </w:p>
        </w:tc>
        <w:tc>
          <w:tcPr>
            <w:tcW w:w="3312" w:type="dxa"/>
            <w:shd w:val="clear" w:color="auto" w:fill="FFFFFF"/>
            <w:tcMar>
              <w:top w:w="40" w:type="dxa"/>
              <w:left w:w="60" w:type="dxa"/>
              <w:bottom w:w="40" w:type="dxa"/>
              <w:right w:w="60" w:type="dxa"/>
            </w:tcMar>
          </w:tcPr>
          <w:p w14:paraId="12195288" w14:textId="77777777" w:rsidR="0068285D" w:rsidRPr="00D2606E" w:rsidRDefault="00000000">
            <w:pPr>
              <w:rPr>
                <w:rFonts w:ascii="Aptos" w:hAnsi="Aptos"/>
                <w:sz w:val="24"/>
                <w:szCs w:val="24"/>
              </w:rPr>
            </w:pPr>
            <w:r w:rsidRPr="00D2606E">
              <w:rPr>
                <w:rFonts w:ascii="Aptos" w:hAnsi="Aptos"/>
                <w:color w:val="222222"/>
                <w:sz w:val="24"/>
                <w:szCs w:val="24"/>
              </w:rPr>
              <w:t>Backdating records, falsifying registers, claiming unapproved Access to Work funding, or manipulating EHCP allocations to benefit the organisation.</w:t>
            </w:r>
          </w:p>
        </w:tc>
      </w:tr>
      <w:tr w:rsidR="0068285D" w:rsidRPr="00D2606E" w14:paraId="0E770750" w14:textId="77777777">
        <w:trPr>
          <w:jc w:val="center"/>
        </w:trPr>
        <w:tc>
          <w:tcPr>
            <w:tcW w:w="3312" w:type="dxa"/>
            <w:shd w:val="clear" w:color="auto" w:fill="F9F9F9"/>
            <w:tcMar>
              <w:top w:w="40" w:type="dxa"/>
              <w:left w:w="60" w:type="dxa"/>
              <w:bottom w:w="40" w:type="dxa"/>
              <w:right w:w="60" w:type="dxa"/>
            </w:tcMar>
          </w:tcPr>
          <w:p w14:paraId="751D6FB1" w14:textId="77777777" w:rsidR="0068285D" w:rsidRPr="00D2606E" w:rsidRDefault="00000000">
            <w:pPr>
              <w:rPr>
                <w:rFonts w:ascii="Aptos" w:hAnsi="Aptos"/>
                <w:sz w:val="24"/>
                <w:szCs w:val="24"/>
              </w:rPr>
            </w:pPr>
            <w:r w:rsidRPr="00D2606E">
              <w:rPr>
                <w:rFonts w:ascii="Aptos" w:hAnsi="Aptos"/>
                <w:b/>
                <w:color w:val="4A154B"/>
                <w:sz w:val="24"/>
                <w:szCs w:val="24"/>
              </w:rPr>
              <w:t>Gifts &amp; Commercial Hospitality</w:t>
            </w:r>
          </w:p>
        </w:tc>
        <w:tc>
          <w:tcPr>
            <w:tcW w:w="3312" w:type="dxa"/>
            <w:shd w:val="clear" w:color="auto" w:fill="F9F9F9"/>
            <w:tcMar>
              <w:top w:w="40" w:type="dxa"/>
              <w:left w:w="60" w:type="dxa"/>
              <w:bottom w:w="40" w:type="dxa"/>
              <w:right w:w="60" w:type="dxa"/>
            </w:tcMar>
          </w:tcPr>
          <w:p w14:paraId="0552D742" w14:textId="77777777" w:rsidR="0068285D" w:rsidRPr="00D2606E" w:rsidRDefault="00000000">
            <w:pPr>
              <w:rPr>
                <w:rFonts w:ascii="Aptos" w:hAnsi="Aptos"/>
                <w:sz w:val="24"/>
                <w:szCs w:val="24"/>
              </w:rPr>
            </w:pPr>
            <w:r w:rsidRPr="00D2606E">
              <w:rPr>
                <w:rFonts w:ascii="Aptos" w:hAnsi="Aptos"/>
                <w:color w:val="222222"/>
                <w:sz w:val="24"/>
                <w:szCs w:val="24"/>
              </w:rPr>
              <w:t>Modest tokens only: Tier 1 under £25 logged; Tier 2 (£25-£100) requiring prior written Director sign-off; Tier 3 over £100 declined.</w:t>
            </w:r>
          </w:p>
        </w:tc>
        <w:tc>
          <w:tcPr>
            <w:tcW w:w="3312" w:type="dxa"/>
            <w:shd w:val="clear" w:color="auto" w:fill="F9F9F9"/>
            <w:tcMar>
              <w:top w:w="40" w:type="dxa"/>
              <w:left w:w="60" w:type="dxa"/>
              <w:bottom w:w="40" w:type="dxa"/>
              <w:right w:w="60" w:type="dxa"/>
            </w:tcMar>
          </w:tcPr>
          <w:p w14:paraId="5618BF7D" w14:textId="77777777" w:rsidR="0068285D" w:rsidRPr="00D2606E" w:rsidRDefault="00000000">
            <w:pPr>
              <w:rPr>
                <w:rFonts w:ascii="Aptos" w:hAnsi="Aptos"/>
                <w:sz w:val="24"/>
                <w:szCs w:val="24"/>
              </w:rPr>
            </w:pPr>
            <w:r w:rsidRPr="00D2606E">
              <w:rPr>
                <w:rFonts w:ascii="Aptos" w:hAnsi="Aptos"/>
                <w:color w:val="222222"/>
                <w:sz w:val="24"/>
                <w:szCs w:val="24"/>
              </w:rPr>
              <w:t>Accepting cash, gift cards, lavish meals, entertainment, or gifts intended or perceived to influence commercial or educational decisions.</w:t>
            </w:r>
          </w:p>
        </w:tc>
      </w:tr>
      <w:tr w:rsidR="0068285D" w:rsidRPr="00D2606E" w14:paraId="299FD41E" w14:textId="77777777">
        <w:trPr>
          <w:jc w:val="center"/>
        </w:trPr>
        <w:tc>
          <w:tcPr>
            <w:tcW w:w="3312" w:type="dxa"/>
            <w:shd w:val="clear" w:color="auto" w:fill="FFFFFF"/>
            <w:tcMar>
              <w:top w:w="40" w:type="dxa"/>
              <w:left w:w="60" w:type="dxa"/>
              <w:bottom w:w="40" w:type="dxa"/>
              <w:right w:w="60" w:type="dxa"/>
            </w:tcMar>
          </w:tcPr>
          <w:p w14:paraId="076046EE" w14:textId="77777777" w:rsidR="0068285D" w:rsidRPr="00D2606E" w:rsidRDefault="00000000">
            <w:pPr>
              <w:rPr>
                <w:rFonts w:ascii="Aptos" w:hAnsi="Aptos"/>
                <w:sz w:val="24"/>
                <w:szCs w:val="24"/>
              </w:rPr>
            </w:pPr>
            <w:r w:rsidRPr="00D2606E">
              <w:rPr>
                <w:rFonts w:ascii="Aptos" w:hAnsi="Aptos"/>
                <w:b/>
                <w:color w:val="4A154B"/>
                <w:sz w:val="24"/>
                <w:szCs w:val="24"/>
              </w:rPr>
              <w:lastRenderedPageBreak/>
              <w:t>Employer Engagement &amp; Placements</w:t>
            </w:r>
          </w:p>
        </w:tc>
        <w:tc>
          <w:tcPr>
            <w:tcW w:w="3312" w:type="dxa"/>
            <w:shd w:val="clear" w:color="auto" w:fill="FFFFFF"/>
            <w:tcMar>
              <w:top w:w="40" w:type="dxa"/>
              <w:left w:w="60" w:type="dxa"/>
              <w:bottom w:w="40" w:type="dxa"/>
              <w:right w:w="60" w:type="dxa"/>
            </w:tcMar>
          </w:tcPr>
          <w:p w14:paraId="138DDB26" w14:textId="77777777" w:rsidR="0068285D" w:rsidRPr="00D2606E" w:rsidRDefault="00000000">
            <w:pPr>
              <w:rPr>
                <w:rFonts w:ascii="Aptos" w:hAnsi="Aptos"/>
                <w:sz w:val="24"/>
                <w:szCs w:val="24"/>
              </w:rPr>
            </w:pPr>
            <w:r w:rsidRPr="00D2606E">
              <w:rPr>
                <w:rFonts w:ascii="Aptos" w:hAnsi="Aptos"/>
                <w:color w:val="222222"/>
                <w:sz w:val="24"/>
                <w:szCs w:val="24"/>
              </w:rPr>
              <w:t>Building genuine, ethical supported internships and apprenticeship pathways compliant with statutory funding rules.</w:t>
            </w:r>
          </w:p>
        </w:tc>
        <w:tc>
          <w:tcPr>
            <w:tcW w:w="3312" w:type="dxa"/>
            <w:shd w:val="clear" w:color="auto" w:fill="FFFFFF"/>
            <w:tcMar>
              <w:top w:w="40" w:type="dxa"/>
              <w:left w:w="60" w:type="dxa"/>
              <w:bottom w:w="40" w:type="dxa"/>
              <w:right w:w="60" w:type="dxa"/>
            </w:tcMar>
          </w:tcPr>
          <w:p w14:paraId="441D0D9B" w14:textId="77777777" w:rsidR="0068285D" w:rsidRPr="00D2606E" w:rsidRDefault="00000000">
            <w:pPr>
              <w:rPr>
                <w:rFonts w:ascii="Aptos" w:hAnsi="Aptos"/>
                <w:sz w:val="24"/>
                <w:szCs w:val="24"/>
              </w:rPr>
            </w:pPr>
            <w:r w:rsidRPr="00D2606E">
              <w:rPr>
                <w:rFonts w:ascii="Aptos" w:hAnsi="Aptos"/>
                <w:color w:val="222222"/>
                <w:sz w:val="24"/>
                <w:szCs w:val="24"/>
              </w:rPr>
              <w:t>Paying financial kickbacks, hidden inducements, or unapproved material incentives to employers to recruit candidates.</w:t>
            </w:r>
          </w:p>
        </w:tc>
      </w:tr>
      <w:tr w:rsidR="0068285D" w:rsidRPr="00D2606E" w14:paraId="178911C8" w14:textId="77777777">
        <w:trPr>
          <w:jc w:val="center"/>
        </w:trPr>
        <w:tc>
          <w:tcPr>
            <w:tcW w:w="3312" w:type="dxa"/>
            <w:shd w:val="clear" w:color="auto" w:fill="F9F9F9"/>
            <w:tcMar>
              <w:top w:w="40" w:type="dxa"/>
              <w:left w:w="60" w:type="dxa"/>
              <w:bottom w:w="40" w:type="dxa"/>
              <w:right w:w="60" w:type="dxa"/>
            </w:tcMar>
          </w:tcPr>
          <w:p w14:paraId="73995072" w14:textId="77777777" w:rsidR="0068285D" w:rsidRPr="00D2606E" w:rsidRDefault="00000000">
            <w:pPr>
              <w:rPr>
                <w:rFonts w:ascii="Aptos" w:hAnsi="Aptos"/>
                <w:sz w:val="24"/>
                <w:szCs w:val="24"/>
              </w:rPr>
            </w:pPr>
            <w:r w:rsidRPr="00D2606E">
              <w:rPr>
                <w:rFonts w:ascii="Aptos" w:hAnsi="Aptos"/>
                <w:b/>
                <w:color w:val="4A154B"/>
                <w:sz w:val="24"/>
                <w:szCs w:val="24"/>
              </w:rPr>
              <w:t>Procurement &amp; Subcontracting</w:t>
            </w:r>
          </w:p>
        </w:tc>
        <w:tc>
          <w:tcPr>
            <w:tcW w:w="3312" w:type="dxa"/>
            <w:shd w:val="clear" w:color="auto" w:fill="F9F9F9"/>
            <w:tcMar>
              <w:top w:w="40" w:type="dxa"/>
              <w:left w:w="60" w:type="dxa"/>
              <w:bottom w:w="40" w:type="dxa"/>
              <w:right w:w="60" w:type="dxa"/>
            </w:tcMar>
          </w:tcPr>
          <w:p w14:paraId="5BB0258A" w14:textId="77777777" w:rsidR="0068285D" w:rsidRPr="00D2606E" w:rsidRDefault="00000000">
            <w:pPr>
              <w:rPr>
                <w:rFonts w:ascii="Aptos" w:hAnsi="Aptos"/>
                <w:sz w:val="24"/>
                <w:szCs w:val="24"/>
              </w:rPr>
            </w:pPr>
            <w:r w:rsidRPr="00D2606E">
              <w:rPr>
                <w:rFonts w:ascii="Aptos" w:hAnsi="Aptos"/>
                <w:color w:val="222222"/>
                <w:sz w:val="24"/>
                <w:szCs w:val="24"/>
              </w:rPr>
              <w:t>Fair, competitive quotations and tenders based on clear written specifications, objective scoring, and transparent Value for Money.</w:t>
            </w:r>
          </w:p>
        </w:tc>
        <w:tc>
          <w:tcPr>
            <w:tcW w:w="3312" w:type="dxa"/>
            <w:shd w:val="clear" w:color="auto" w:fill="F9F9F9"/>
            <w:tcMar>
              <w:top w:w="40" w:type="dxa"/>
              <w:left w:w="60" w:type="dxa"/>
              <w:bottom w:w="40" w:type="dxa"/>
              <w:right w:w="60" w:type="dxa"/>
            </w:tcMar>
          </w:tcPr>
          <w:p w14:paraId="0F9D105A" w14:textId="77777777" w:rsidR="0068285D" w:rsidRPr="00D2606E" w:rsidRDefault="00000000">
            <w:pPr>
              <w:rPr>
                <w:rFonts w:ascii="Aptos" w:hAnsi="Aptos"/>
                <w:sz w:val="24"/>
                <w:szCs w:val="24"/>
              </w:rPr>
            </w:pPr>
            <w:r w:rsidRPr="00D2606E">
              <w:rPr>
                <w:rFonts w:ascii="Aptos" w:hAnsi="Aptos"/>
                <w:color w:val="222222"/>
                <w:sz w:val="24"/>
                <w:szCs w:val="24"/>
              </w:rPr>
              <w:t>Awarding contracts to friends or family without tender, taking kickbacks from suppliers, or concealing commercial relationships.</w:t>
            </w:r>
          </w:p>
        </w:tc>
      </w:tr>
    </w:tbl>
    <w:p w14:paraId="007BEB45" w14:textId="77777777" w:rsidR="0068285D" w:rsidRPr="00D2606E" w:rsidRDefault="0068285D">
      <w:pPr>
        <w:spacing w:after="80"/>
        <w:rPr>
          <w:rFonts w:ascii="Aptos" w:hAnsi="Aptos"/>
          <w:sz w:val="24"/>
          <w:szCs w:val="24"/>
        </w:rPr>
      </w:pPr>
    </w:p>
    <w:p w14:paraId="2CFD5FBA" w14:textId="77777777" w:rsidR="0068285D" w:rsidRPr="00D2606E" w:rsidRDefault="00000000">
      <w:pPr>
        <w:keepNext/>
        <w:spacing w:before="220" w:after="60"/>
        <w:rPr>
          <w:rFonts w:ascii="Aptos" w:hAnsi="Aptos"/>
          <w:sz w:val="24"/>
          <w:szCs w:val="24"/>
        </w:rPr>
      </w:pPr>
      <w:r w:rsidRPr="00D2606E">
        <w:rPr>
          <w:rFonts w:ascii="Aptos" w:hAnsi="Aptos"/>
          <w:b/>
          <w:color w:val="4A154B"/>
          <w:sz w:val="24"/>
          <w:szCs w:val="24"/>
        </w:rPr>
        <w:t>4. Speaking Up &amp; Whistleblower Protection</w:t>
      </w:r>
    </w:p>
    <w:p w14:paraId="0F4E3C1D" w14:textId="77777777" w:rsidR="0068285D" w:rsidRPr="00D2606E" w:rsidRDefault="00000000">
      <w:pPr>
        <w:spacing w:after="80"/>
        <w:rPr>
          <w:rFonts w:ascii="Aptos" w:hAnsi="Aptos"/>
          <w:sz w:val="24"/>
          <w:szCs w:val="24"/>
        </w:rPr>
      </w:pPr>
      <w:r w:rsidRPr="00D2606E">
        <w:rPr>
          <w:rFonts w:ascii="Aptos" w:hAnsi="Aptos"/>
          <w:color w:val="222222"/>
          <w:sz w:val="24"/>
          <w:szCs w:val="24"/>
        </w:rPr>
        <w:t>Reach Education and Employment fosters a transparent, open culture where staff, volunteers, employers, and learners feel fully protected and empowered to speak up without fear of reprisal. Any observed or suspected financial misconduct, fraud, bribery, improper influence, or data falsification must be reported immediately:</w:t>
      </w:r>
    </w:p>
    <w:p w14:paraId="4764E5D6" w14:textId="77777777" w:rsidR="0068285D" w:rsidRPr="00D2606E" w:rsidRDefault="00000000">
      <w:pPr>
        <w:spacing w:before="20" w:after="40"/>
        <w:ind w:left="288"/>
        <w:rPr>
          <w:rFonts w:ascii="Aptos" w:hAnsi="Aptos"/>
          <w:sz w:val="24"/>
          <w:szCs w:val="24"/>
        </w:rPr>
      </w:pPr>
      <w:r w:rsidRPr="00D2606E">
        <w:rPr>
          <w:rFonts w:ascii="Aptos" w:hAnsi="Aptos"/>
          <w:b/>
          <w:color w:val="C59B27"/>
          <w:sz w:val="24"/>
          <w:szCs w:val="24"/>
        </w:rPr>
        <w:t xml:space="preserve">• </w:t>
      </w:r>
      <w:r w:rsidRPr="00D2606E">
        <w:rPr>
          <w:rFonts w:ascii="Aptos" w:hAnsi="Aptos"/>
          <w:b/>
          <w:color w:val="4A154B"/>
          <w:sz w:val="24"/>
          <w:szCs w:val="24"/>
        </w:rPr>
        <w:t xml:space="preserve">Internal Reporting Channels: </w:t>
      </w:r>
      <w:r w:rsidRPr="00D2606E">
        <w:rPr>
          <w:rFonts w:ascii="Aptos" w:hAnsi="Aptos"/>
          <w:color w:val="222222"/>
          <w:sz w:val="24"/>
          <w:szCs w:val="24"/>
        </w:rPr>
        <w:t>Report concerns verbally or in writing to Christopher Murray (Designated Compliance Lead) on 07583695771 / chris@reach-education.org. If the concern involves senior management, report directly to Andrew Mallin (Executive Director / Whistleblowing Lead) on 07740606684.</w:t>
      </w:r>
    </w:p>
    <w:p w14:paraId="04D214E8" w14:textId="77777777" w:rsidR="0068285D" w:rsidRPr="00D2606E" w:rsidRDefault="00000000">
      <w:pPr>
        <w:spacing w:before="20" w:after="40"/>
        <w:ind w:left="288"/>
        <w:rPr>
          <w:rFonts w:ascii="Aptos" w:hAnsi="Aptos"/>
          <w:sz w:val="24"/>
          <w:szCs w:val="24"/>
        </w:rPr>
      </w:pPr>
      <w:r w:rsidRPr="00D2606E">
        <w:rPr>
          <w:rFonts w:ascii="Aptos" w:hAnsi="Aptos"/>
          <w:b/>
          <w:color w:val="C59B27"/>
          <w:sz w:val="24"/>
          <w:szCs w:val="24"/>
        </w:rPr>
        <w:t xml:space="preserve">• </w:t>
      </w:r>
      <w:r w:rsidRPr="00D2606E">
        <w:rPr>
          <w:rFonts w:ascii="Aptos" w:hAnsi="Aptos"/>
          <w:b/>
          <w:color w:val="4A154B"/>
          <w:sz w:val="24"/>
          <w:szCs w:val="24"/>
        </w:rPr>
        <w:t xml:space="preserve">External Regulatory Escalation: </w:t>
      </w:r>
      <w:r w:rsidRPr="00D2606E">
        <w:rPr>
          <w:rFonts w:ascii="Aptos" w:hAnsi="Aptos"/>
          <w:color w:val="222222"/>
          <w:sz w:val="24"/>
          <w:szCs w:val="24"/>
        </w:rPr>
        <w:t>If the concern involves the entire Board of Directors, or if an individual feels unable to raise the concern internally, reports may be made directly to external bodies: North Yorkshire Council / Veritau Counter Fraud (counter.fraud@veritau.co.uk / 0800 9179 247); DfE / ESFA Counter Fraud Team (allegations.mailbox@education.gov.uk); Action Fraud (0300 123 2040); or Protect (020 3117 2520).</w:t>
      </w:r>
    </w:p>
    <w:tbl>
      <w:tblPr>
        <w:tblW w:w="0" w:type="auto"/>
        <w:jc w:val="center"/>
        <w:tblLayout w:type="fixed"/>
        <w:tblLook w:val="04A0" w:firstRow="1" w:lastRow="0" w:firstColumn="1" w:lastColumn="0" w:noHBand="0" w:noVBand="1"/>
      </w:tblPr>
      <w:tblGrid>
        <w:gridCol w:w="9936"/>
      </w:tblGrid>
      <w:tr w:rsidR="0068285D" w:rsidRPr="00D2606E" w14:paraId="52E20901" w14:textId="77777777">
        <w:trPr>
          <w:jc w:val="center"/>
        </w:trPr>
        <w:tc>
          <w:tcPr>
            <w:tcW w:w="9936" w:type="dxa"/>
            <w:tcBorders>
              <w:left w:val="single" w:sz="24" w:space="0" w:color="4A154B"/>
            </w:tcBorders>
            <w:shd w:val="clear" w:color="auto" w:fill="F5EEF6"/>
            <w:tcMar>
              <w:top w:w="80" w:type="dxa"/>
              <w:left w:w="120" w:type="dxa"/>
              <w:bottom w:w="80" w:type="dxa"/>
              <w:right w:w="120" w:type="dxa"/>
            </w:tcMar>
          </w:tcPr>
          <w:p w14:paraId="0A78AF19" w14:textId="77777777" w:rsidR="0068285D" w:rsidRPr="00D2606E" w:rsidRDefault="00000000">
            <w:pPr>
              <w:spacing w:after="0"/>
              <w:rPr>
                <w:rFonts w:ascii="Aptos" w:hAnsi="Aptos"/>
                <w:sz w:val="24"/>
                <w:szCs w:val="24"/>
              </w:rPr>
            </w:pPr>
            <w:r w:rsidRPr="00D2606E">
              <w:rPr>
                <w:rFonts w:ascii="Aptos" w:hAnsi="Aptos"/>
                <w:b/>
                <w:color w:val="4A154B"/>
                <w:sz w:val="24"/>
                <w:szCs w:val="24"/>
              </w:rPr>
              <w:t>STATUTORY WHISTLEBLOWER SAFEGUARDS:</w:t>
            </w:r>
            <w:r w:rsidRPr="00D2606E">
              <w:rPr>
                <w:rFonts w:ascii="Aptos" w:hAnsi="Aptos"/>
                <w:b/>
                <w:color w:val="4A154B"/>
                <w:sz w:val="24"/>
                <w:szCs w:val="24"/>
              </w:rPr>
              <w:br/>
            </w:r>
            <w:r w:rsidRPr="00D2606E">
              <w:rPr>
                <w:rFonts w:ascii="Aptos" w:hAnsi="Aptos"/>
                <w:color w:val="222222"/>
                <w:sz w:val="24"/>
                <w:szCs w:val="24"/>
              </w:rPr>
              <w:t>Under the Public Interest Disclosure Act 1998 (PIDA) and REACH’s Whistleblowing Policy, any individual raising a genuine concern in good faith will be fully protected from victimisation, harassment, detriment, or dismissal. All reports are investigated confidentially, objectively, and promptly.</w:t>
            </w:r>
          </w:p>
        </w:tc>
      </w:tr>
    </w:tbl>
    <w:p w14:paraId="44804AAC" w14:textId="77777777" w:rsidR="0068285D" w:rsidRPr="00D2606E" w:rsidRDefault="0068285D">
      <w:pPr>
        <w:spacing w:after="80"/>
        <w:rPr>
          <w:rFonts w:ascii="Aptos" w:hAnsi="Aptos"/>
          <w:sz w:val="24"/>
          <w:szCs w:val="24"/>
        </w:rPr>
      </w:pPr>
    </w:p>
    <w:p w14:paraId="08BD8420" w14:textId="77777777" w:rsidR="0068285D" w:rsidRPr="00D2606E" w:rsidRDefault="00000000">
      <w:pPr>
        <w:keepNext/>
        <w:spacing w:before="220" w:after="60"/>
        <w:rPr>
          <w:rFonts w:ascii="Aptos" w:hAnsi="Aptos"/>
          <w:sz w:val="24"/>
          <w:szCs w:val="24"/>
        </w:rPr>
      </w:pPr>
      <w:r w:rsidRPr="00D2606E">
        <w:rPr>
          <w:rFonts w:ascii="Aptos" w:hAnsi="Aptos"/>
          <w:b/>
          <w:color w:val="4A154B"/>
          <w:sz w:val="24"/>
          <w:szCs w:val="24"/>
        </w:rPr>
        <w:t>5. Accountability &amp; Executive Commitment</w:t>
      </w:r>
    </w:p>
    <w:p w14:paraId="698278B8" w14:textId="77777777" w:rsidR="0068285D" w:rsidRPr="00D2606E" w:rsidRDefault="00000000">
      <w:pPr>
        <w:spacing w:after="80"/>
        <w:rPr>
          <w:rFonts w:ascii="Aptos" w:hAnsi="Aptos"/>
          <w:sz w:val="24"/>
          <w:szCs w:val="24"/>
        </w:rPr>
      </w:pPr>
      <w:r w:rsidRPr="00D2606E">
        <w:rPr>
          <w:rFonts w:ascii="Aptos" w:hAnsi="Aptos"/>
          <w:color w:val="222222"/>
          <w:sz w:val="24"/>
          <w:szCs w:val="24"/>
        </w:rPr>
        <w:t xml:space="preserve">Compliance with this Statement of Ethics and the Anti-Corruption and Anti-Bribery Policy is a mandatory condition of employment and commercial engagement with Reach Education and Employment. Breaches of these ethical standards constitute gross misconduct, resulting in </w:t>
      </w:r>
      <w:r w:rsidRPr="00D2606E">
        <w:rPr>
          <w:rFonts w:ascii="Aptos" w:hAnsi="Aptos"/>
          <w:color w:val="222222"/>
          <w:sz w:val="24"/>
          <w:szCs w:val="24"/>
        </w:rPr>
        <w:lastRenderedPageBreak/>
        <w:t>immediate disciplinary action, summary dismissal, contract termination, and formal referral to statutory regulatory authorities, the ESFA, and the Police.</w:t>
      </w:r>
    </w:p>
    <w:p w14:paraId="4D5E146B" w14:textId="77777777" w:rsidR="0068285D" w:rsidRPr="00D2606E" w:rsidRDefault="00000000">
      <w:pPr>
        <w:spacing w:after="80"/>
        <w:rPr>
          <w:rFonts w:ascii="Aptos" w:hAnsi="Aptos"/>
          <w:sz w:val="24"/>
          <w:szCs w:val="24"/>
        </w:rPr>
      </w:pPr>
      <w:r w:rsidRPr="00D2606E">
        <w:rPr>
          <w:rFonts w:ascii="Aptos" w:hAnsi="Aptos"/>
          <w:color w:val="222222"/>
          <w:sz w:val="24"/>
          <w:szCs w:val="24"/>
        </w:rPr>
        <w:t>This statement represents the collective commitment of the leadership, staff, and directors of Reach Education and Employment to protect public education funds and uphold the highest standards of professional practice.</w:t>
      </w:r>
    </w:p>
    <w:p w14:paraId="2D422417" w14:textId="77777777" w:rsidR="0068285D" w:rsidRPr="00D2606E" w:rsidRDefault="00000000">
      <w:pPr>
        <w:spacing w:before="160" w:after="40"/>
        <w:rPr>
          <w:rFonts w:ascii="Aptos" w:hAnsi="Aptos"/>
          <w:sz w:val="24"/>
          <w:szCs w:val="24"/>
        </w:rPr>
      </w:pPr>
      <w:r w:rsidRPr="00D2606E">
        <w:rPr>
          <w:rFonts w:ascii="Aptos" w:hAnsi="Aptos"/>
          <w:sz w:val="24"/>
          <w:szCs w:val="24"/>
        </w:rPr>
        <w:t>Executive Director Sign-Off: _________________________________________   Date: 22/09/2026</w:t>
      </w:r>
      <w:r w:rsidRPr="00D2606E">
        <w:rPr>
          <w:rFonts w:ascii="Aptos" w:hAnsi="Aptos"/>
          <w:sz w:val="24"/>
          <w:szCs w:val="24"/>
        </w:rPr>
        <w:br/>
        <w:t>Andrew Mallin, Executive Director</w:t>
      </w:r>
      <w:r w:rsidRPr="00D2606E">
        <w:rPr>
          <w:rFonts w:ascii="Aptos" w:hAnsi="Aptos"/>
          <w:sz w:val="24"/>
          <w:szCs w:val="24"/>
        </w:rPr>
        <w:br/>
      </w:r>
      <w:r w:rsidRPr="00D2606E">
        <w:rPr>
          <w:rFonts w:ascii="Aptos" w:hAnsi="Aptos"/>
          <w:sz w:val="24"/>
          <w:szCs w:val="24"/>
        </w:rPr>
        <w:br/>
        <w:t>Designated Compliance Lead: __________________________________________   Date: 22/09/2026</w:t>
      </w:r>
      <w:r w:rsidRPr="00D2606E">
        <w:rPr>
          <w:rFonts w:ascii="Aptos" w:hAnsi="Aptos"/>
          <w:sz w:val="24"/>
          <w:szCs w:val="24"/>
        </w:rPr>
        <w:br/>
        <w:t>Christopher Murray, Designated Compliance Lead</w:t>
      </w:r>
    </w:p>
    <w:p w14:paraId="5D6F4A50" w14:textId="77777777" w:rsidR="0068285D" w:rsidRPr="00D2606E" w:rsidRDefault="00000000">
      <w:pPr>
        <w:spacing w:before="280" w:after="40"/>
        <w:rPr>
          <w:rFonts w:ascii="Aptos" w:hAnsi="Aptos"/>
          <w:sz w:val="24"/>
          <w:szCs w:val="24"/>
        </w:rPr>
      </w:pPr>
      <w:r w:rsidRPr="00D2606E">
        <w:rPr>
          <w:rFonts w:ascii="Aptos" w:hAnsi="Aptos"/>
          <w:i/>
          <w:color w:val="646464"/>
          <w:sz w:val="24"/>
          <w:szCs w:val="24"/>
        </w:rPr>
        <w:t>Reach Education and Employment | Statement of Ethics and Professional Integrity v1.0 | Approved 22/09/2026</w:t>
      </w:r>
    </w:p>
    <w:sectPr w:rsidR="0068285D" w:rsidRPr="00D2606E"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7353436">
    <w:abstractNumId w:val="8"/>
  </w:num>
  <w:num w:numId="2" w16cid:durableId="529492605">
    <w:abstractNumId w:val="6"/>
  </w:num>
  <w:num w:numId="3" w16cid:durableId="430856569">
    <w:abstractNumId w:val="5"/>
  </w:num>
  <w:num w:numId="4" w16cid:durableId="485970846">
    <w:abstractNumId w:val="4"/>
  </w:num>
  <w:num w:numId="5" w16cid:durableId="196234330">
    <w:abstractNumId w:val="7"/>
  </w:num>
  <w:num w:numId="6" w16cid:durableId="1770463543">
    <w:abstractNumId w:val="3"/>
  </w:num>
  <w:num w:numId="7" w16cid:durableId="562182939">
    <w:abstractNumId w:val="2"/>
  </w:num>
  <w:num w:numId="8" w16cid:durableId="1656563550">
    <w:abstractNumId w:val="1"/>
  </w:num>
  <w:num w:numId="9" w16cid:durableId="658389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8285D"/>
    <w:rsid w:val="00A57F51"/>
    <w:rsid w:val="00AA1D8D"/>
    <w:rsid w:val="00B47730"/>
    <w:rsid w:val="00CB0664"/>
    <w:rsid w:val="00D2606E"/>
    <w:rsid w:val="00D62A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2AE02D"/>
  <w14:defaultImageDpi w14:val="300"/>
  <w15:docId w15:val="{0E1EB1A2-DFA3-4A98-AAE1-178CF4733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969</Words>
  <Characters>6562</Characters>
  <Application>Microsoft Office Word</Application>
  <DocSecurity>0</DocSecurity>
  <Lines>156</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CHRISTOPHER MURRAY</cp:lastModifiedBy>
  <cp:revision>3</cp:revision>
  <dcterms:created xsi:type="dcterms:W3CDTF">2026-09-22T16:14:00Z</dcterms:created>
  <dcterms:modified xsi:type="dcterms:W3CDTF">2026-09-22T16:15:00Z</dcterms:modified>
  <cp:category/>
</cp:coreProperties>
</file>